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3CBA" w14:textId="77777777" w:rsidR="004A280E" w:rsidRPr="004E45CD" w:rsidRDefault="00D565F2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</w:pPr>
      <w:r w:rsidRPr="004E45C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>TISKOVÁ ZPRÁVA</w:t>
      </w:r>
    </w:p>
    <w:p w14:paraId="118F8DF4" w14:textId="76067D23" w:rsidR="004A280E" w:rsidRPr="004E45CD" w:rsidRDefault="00D565F2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i/>
          <w:sz w:val="22"/>
          <w:szCs w:val="22"/>
          <w:lang w:val="cs-CZ"/>
        </w:rPr>
      </w:pPr>
      <w:r w:rsidRPr="004E45CD">
        <w:rPr>
          <w:rFonts w:asciiTheme="majorHAnsi" w:hAnsiTheme="majorHAnsi" w:cstheme="majorHAnsi"/>
          <w:i/>
          <w:sz w:val="22"/>
          <w:szCs w:val="22"/>
          <w:lang w:val="cs-CZ"/>
        </w:rPr>
        <w:t xml:space="preserve">Pardubice, </w:t>
      </w:r>
      <w:r w:rsidR="008164A6">
        <w:rPr>
          <w:rFonts w:asciiTheme="majorHAnsi" w:hAnsiTheme="majorHAnsi" w:cstheme="majorHAnsi"/>
          <w:i/>
          <w:sz w:val="22"/>
          <w:szCs w:val="22"/>
          <w:lang w:val="cs-CZ"/>
        </w:rPr>
        <w:t>1</w:t>
      </w:r>
      <w:r w:rsidRPr="004E45CD">
        <w:rPr>
          <w:rFonts w:asciiTheme="majorHAnsi" w:hAnsiTheme="majorHAnsi" w:cstheme="majorHAnsi"/>
          <w:i/>
          <w:sz w:val="22"/>
          <w:szCs w:val="22"/>
          <w:lang w:val="cs-CZ"/>
        </w:rPr>
        <w:t>. června 202</w:t>
      </w:r>
      <w:r w:rsidR="008164A6">
        <w:rPr>
          <w:rFonts w:asciiTheme="majorHAnsi" w:hAnsiTheme="majorHAnsi" w:cstheme="majorHAnsi"/>
          <w:i/>
          <w:sz w:val="22"/>
          <w:szCs w:val="22"/>
          <w:lang w:val="cs-CZ"/>
        </w:rPr>
        <w:t>1</w:t>
      </w:r>
    </w:p>
    <w:p w14:paraId="4B459013" w14:textId="3B84FF98" w:rsidR="004A280E" w:rsidRPr="004E45CD" w:rsidRDefault="00D565F2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4E45CD">
        <w:rPr>
          <w:rFonts w:asciiTheme="majorHAnsi" w:hAnsiTheme="majorHAnsi" w:cstheme="majorHAnsi"/>
          <w:sz w:val="22"/>
          <w:szCs w:val="22"/>
          <w:lang w:val="cs-CZ"/>
        </w:rPr>
        <w:t>______________________________________________________________________________</w:t>
      </w:r>
      <w:r w:rsidR="00643578">
        <w:rPr>
          <w:rFonts w:asciiTheme="majorHAnsi" w:hAnsiTheme="majorHAnsi" w:cstheme="majorHAnsi"/>
          <w:sz w:val="22"/>
          <w:szCs w:val="22"/>
          <w:lang w:val="cs-CZ"/>
        </w:rPr>
        <w:t>_______</w:t>
      </w:r>
    </w:p>
    <w:p w14:paraId="46B4F8DA" w14:textId="77777777" w:rsidR="004A280E" w:rsidRPr="004E45CD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27BB95C5" w14:textId="1E2ACBBD" w:rsidR="004A280E" w:rsidRPr="004E45CD" w:rsidRDefault="00DB12B9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>NA PARDUBICKU ZAČÍNÁ TURISTICKÁ SEZÓNA NABITÁ NOVINKAMI</w:t>
      </w:r>
    </w:p>
    <w:p w14:paraId="626D607C" w14:textId="77777777" w:rsidR="004A280E" w:rsidRPr="004E45CD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14:paraId="191B5E8C" w14:textId="609B62E8" w:rsidR="004A280E" w:rsidRPr="004E45CD" w:rsidRDefault="0051607B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 xml:space="preserve">Konečně </w:t>
      </w:r>
      <w:r w:rsidR="00B1386D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>nastává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 xml:space="preserve"> okamžik, na který všichni čekali – po otevření obchodů, restaurací a sportovišť přichází na řadu památky a kulturní akce. Na Pardubicku vás čeká hned několik novinek, </w:t>
      </w:r>
      <w:r w:rsidR="00643578">
        <w:rPr>
          <w:rFonts w:asciiTheme="majorHAnsi" w:eastAsia="Calibri" w:hAnsiTheme="majorHAnsi" w:cstheme="majorHAnsi"/>
          <w:b/>
          <w:color w:val="000000"/>
          <w:sz w:val="22"/>
          <w:szCs w:val="22"/>
          <w:lang w:val="cs-CZ"/>
        </w:rPr>
        <w:t>které rozhodně stoí za pozornost.</w:t>
      </w:r>
    </w:p>
    <w:p w14:paraId="4A06F11B" w14:textId="77777777" w:rsidR="004A280E" w:rsidRPr="004E45CD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14:paraId="179F1E4C" w14:textId="0607CC70" w:rsidR="00D20DF0" w:rsidRDefault="0051607B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Kunětickou horu – jediný kopec nad Pardubickem – nelze přehlédnout, navíc když na něm stojí hrad. Státní hrad Kunětická hora se od letošní sezóny představí ve zcela novém hávu. Byla zde dokončena náročná obnova tzv. Jurkovičova paláce</w:t>
      </w:r>
      <w:r w:rsidR="00663B68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, který </w:t>
      </w: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byl z důvodu bezpečnosti posledních </w:t>
      </w:r>
      <w:r w:rsidR="00663B68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4</w:t>
      </w: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0 let veřejnosti zcela uzavřen. </w:t>
      </w:r>
      <w:r w:rsidR="00663B68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Architekt Dušan Jurkovič se podílel na rekonstrukci hradu, která </w:t>
      </w:r>
      <w:r w:rsidR="00AC71EF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tu</w:t>
      </w:r>
      <w:r w:rsidR="00663B68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probíhala před sto lety</w:t>
      </w:r>
      <w:r w:rsidR="00D20DF0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a nyní se i jeho dílo dočkalo obnovy. „</w:t>
      </w:r>
      <w:r w:rsidR="00D20DF0" w:rsidRPr="00D20DF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>Prohlídku nových prostor návštěvníci absolvují</w:t>
      </w:r>
      <w:r w:rsidR="00D20DF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 xml:space="preserve"> vždy</w:t>
      </w:r>
      <w:r w:rsidR="00D20DF0" w:rsidRPr="00D20DF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 xml:space="preserve"> s výkladem hradního průvodce. </w:t>
      </w:r>
      <w:r w:rsidR="00C75D0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>A protože v</w:t>
      </w:r>
      <w:r w:rsidR="00D20DF0" w:rsidRPr="00D20DF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> současné době je možné provázet v interiérech maximálně devítičlenné skupiny, správa hradu doporučuje rezervovat si vstupenku předem online</w:t>
      </w:r>
      <w:r w:rsidR="00D20DF0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.“ doplňuje Markéta Krátká za destinační management oblasti Pardubicko.</w:t>
      </w:r>
      <w:r w:rsidR="00B1386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„</w:t>
      </w:r>
      <w:r w:rsidR="00B1386D" w:rsidRPr="00B1386D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 xml:space="preserve">Uzavřený </w:t>
      </w:r>
      <w:r w:rsidR="00B1386D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>naopak</w:t>
      </w:r>
      <w:r w:rsidR="00B1386D" w:rsidRPr="00B1386D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 xml:space="preserve"> zůstane hlavní hradní palác s věží, který také projde rozsáhlou renovac</w:t>
      </w:r>
      <w:r w:rsidR="00B1386D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>í. Ta by měla skončit za dva roky. Čili v roce 2023 bychom měli mít na Kunětické hoře hrad jako nový,</w:t>
      </w:r>
      <w:r w:rsidR="00B1386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“ dodává.</w:t>
      </w:r>
    </w:p>
    <w:p w14:paraId="7156F83C" w14:textId="77777777" w:rsidR="00D20DF0" w:rsidRDefault="00D20DF0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14:paraId="1681660A" w14:textId="0753D047" w:rsidR="00DD72B5" w:rsidRDefault="00D20DF0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Pardubicko si v letošním roce připomíná 500leté výročí úmrtí významného šlechtice Viléma z Pernštejna. Pardubický kraj k tomuto tématu připravil celoroční program akcí </w:t>
      </w:r>
      <w:r w:rsidR="00B1386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s</w:t>
      </w: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</w:t>
      </w:r>
      <w:r w:rsidRPr="00B1386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názvem </w:t>
      </w:r>
      <w:r w:rsidRPr="00B1386D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>Vilém 500 aneb 500 let renesance ve východních Čechách</w:t>
      </w: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. </w:t>
      </w:r>
      <w:r w:rsidR="00B1386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Ve Východočeském muzeu, které sídlí na zámku v Pardubicích, </w:t>
      </w:r>
      <w:r w:rsidR="00DD72B5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k</w:t>
      </w:r>
      <w:r w:rsidR="00AC71EF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 </w:t>
      </w:r>
      <w:r w:rsidR="00B1386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tomuto tématu</w:t>
      </w:r>
      <w:r w:rsidR="00DD72B5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připravili</w:t>
      </w:r>
      <w:r w:rsidR="00B1386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výstav</w:t>
      </w:r>
      <w:r w:rsidR="00DD72B5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u</w:t>
      </w:r>
      <w:r w:rsidR="00B1386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Pernštejnské ženy a Evropa. </w:t>
      </w:r>
      <w:r w:rsidR="00DD72B5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Ta</w:t>
      </w:r>
      <w:r w:rsidR="00B1386D" w:rsidRPr="00B1386D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ukazuje, jak novověké šlechtické ženy – příslušnice rodu Pernštejnů – přispívaly k formování evropské kulturní identity.</w:t>
      </w:r>
      <w:r w:rsidR="00DD72B5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A že to mnohdy skutečně neměly jednoduché. Výstava je přístupná až do poloviny října.</w:t>
      </w:r>
    </w:p>
    <w:p w14:paraId="58930244" w14:textId="77777777" w:rsidR="00DD72B5" w:rsidRDefault="00DD72B5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14:paraId="3B567B2E" w14:textId="32E629B6" w:rsidR="00C75D05" w:rsidRDefault="00DD72B5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Další památkou Pardubicka, která nyní také otevírá své brány, je zámek v Cholticích. Během června je </w:t>
      </w:r>
      <w:r w:rsidR="00AC71EF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otevřeno</w:t>
      </w: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v pátek, sobotu </w:t>
      </w:r>
      <w:r w:rsidR="00AC71EF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a</w:t>
      </w: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neděli. O víkendu 11. – 13. června sem mohou návštěvníci zavítat na Drátenické Choltice, kde se předvědou řemeslníci, které už dnes jen tak nepotkáte: dráteníci,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rolničkáři</w:t>
      </w:r>
      <w:proofErr w:type="spellEnd"/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, písaři</w:t>
      </w:r>
      <w:r w:rsidR="00C75D05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či pregéři.</w:t>
      </w:r>
    </w:p>
    <w:p w14:paraId="4165E744" w14:textId="7D65E461" w:rsidR="00C75D05" w:rsidRDefault="00C75D05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14:paraId="046433C3" w14:textId="6F9C3E45" w:rsidR="00C75D05" w:rsidRDefault="00C75D05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Pardubicko má své kouzlo nejen pro milovníky památek, ale také sportu. U pardubického parku Na Špici, kde si už několik let mohou výletníci půjčit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paddleboard</w:t>
      </w:r>
      <w:proofErr w:type="spellEnd"/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a užít si výhled z hladiny Labe nebo Chrudimky, si letos připravili další náčiní k půjčování. V nabídce jsou nyní i vodní šlapadla, kánoe a pro suchozemskou přepravu koloběžky. „</w:t>
      </w:r>
      <w:r w:rsidRPr="00C75D0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 xml:space="preserve">Návštěvník se v půjčování sportovního náčiní nemusí omezovat. Je možné půjčit si koloběžku, udělat si výlet, dojet na ní do Kunětic, tam </w:t>
      </w:r>
      <w:r w:rsidR="00EE4ED8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>ji vyměnit za</w:t>
      </w:r>
      <w:r w:rsidRPr="00C75D0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 xml:space="preserve"> </w:t>
      </w:r>
      <w:proofErr w:type="spellStart"/>
      <w:r w:rsidRPr="00C75D0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>paddleboard</w:t>
      </w:r>
      <w:proofErr w:type="spellEnd"/>
      <w:r w:rsidRPr="00C75D0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 xml:space="preserve"> a po Labi se vrátit zpět do Pardubic</w:t>
      </w: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,“ popisuje novou službu Markéta Krátká.</w:t>
      </w:r>
      <w:r w:rsidR="00E305F1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 „</w:t>
      </w:r>
      <w:r w:rsidRPr="00E305F1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 xml:space="preserve">Zůstaneme-li ještě u vody, </w:t>
      </w:r>
      <w:r w:rsidR="00E305F1" w:rsidRPr="00E305F1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val="cs-CZ"/>
        </w:rPr>
        <w:t>už nyní je možné zajít si zaplavat do pardubického Aquacentra a venkovní koupaliště Cihelna plánuje zahájit provoz 11. června, to je samozřejmě závislé na aktuální předpovědi počasí</w:t>
      </w:r>
      <w:r w:rsidR="00E305F1"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,“ dodává Krátká.</w:t>
      </w:r>
    </w:p>
    <w:p w14:paraId="59D37CF2" w14:textId="216D2A48" w:rsidR="00EE4ED8" w:rsidRDefault="00EE4ED8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</w:p>
    <w:p w14:paraId="73FBC1E1" w14:textId="59607D37" w:rsidR="00EE4ED8" w:rsidRDefault="00643578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 xml:space="preserve">Už nyní je jasné, že léto bude nabité akcemi. Tento pátek 4. 6. proběhne na nádvoří pardubického zámku Pernštýnská noc, v sobotu 5. 6. čeká gurmány Food Truck </w:t>
      </w:r>
      <w:proofErr w:type="spellStart"/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Fest</w:t>
      </w:r>
      <w:proofErr w:type="spellEnd"/>
      <w:r>
        <w:rPr>
          <w:rFonts w:asciiTheme="majorHAnsi" w:eastAsia="Calibri" w:hAnsiTheme="majorHAnsi" w:cstheme="majorHAnsi"/>
          <w:color w:val="000000"/>
          <w:sz w:val="22"/>
          <w:szCs w:val="22"/>
          <w:lang w:val="cs-CZ"/>
        </w:rPr>
        <w:t>, tentýž den se chystá i MINT Market v Automatických mlýnech, 11. a 12. 6. hraje Východočeské divadlo v amfiteátru na Kunětické hoře Tři veterány. Závěr června bude ve znamení II. kvalifikace na Velkou pardubickou se Slavia pojišťovnou a zahájení provozu 16. ročníku Pardubického letního kina. Rozhodně je na co se těšit.</w:t>
      </w:r>
    </w:p>
    <w:p w14:paraId="06BD90E1" w14:textId="6A601C3D" w:rsidR="004A280E" w:rsidRPr="00643578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316BC93A" w14:textId="77777777" w:rsidR="004A280E" w:rsidRPr="004E45CD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7576C763" w14:textId="3D6FA309" w:rsidR="004A280E" w:rsidRPr="004E45CD" w:rsidRDefault="00D565F2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>Pardubicko – Perníkové srdce Čech, z. s. je certifikovanou oblastní organizací cestovního ruchu. Spolek byl založen</w:t>
      </w:r>
      <w:r w:rsidR="00643578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>1.</w:t>
      </w:r>
      <w:r w:rsidR="00643578">
        <w:rPr>
          <w:rFonts w:asciiTheme="majorHAnsi" w:hAnsiTheme="majorHAnsi" w:cstheme="majorHAnsi"/>
          <w:sz w:val="20"/>
          <w:szCs w:val="20"/>
          <w:lang w:val="cs-CZ"/>
        </w:rPr>
        <w:t> 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>července 2017. Zakládajícími členy jsou Statutární město Pardubice, MAS Bohdanečsko, MAS Holicko, MAS</w:t>
      </w:r>
      <w:r w:rsidR="00643578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 xml:space="preserve">Region Kunětické hory a MAS Železnohorský region. Spolek sdružuje celkem </w:t>
      </w:r>
      <w:r w:rsidR="0051607B">
        <w:rPr>
          <w:rFonts w:asciiTheme="majorHAnsi" w:hAnsiTheme="majorHAnsi" w:cstheme="majorHAnsi"/>
          <w:sz w:val="20"/>
          <w:szCs w:val="20"/>
          <w:lang w:val="cs-CZ"/>
        </w:rPr>
        <w:t>šestnáct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 xml:space="preserve"> členů z řad poskytovatelů</w:t>
      </w:r>
      <w:r w:rsidR="00643578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>služeb v</w:t>
      </w:r>
      <w:r w:rsidR="00643578">
        <w:rPr>
          <w:rFonts w:asciiTheme="majorHAnsi" w:hAnsiTheme="majorHAnsi" w:cstheme="majorHAnsi"/>
          <w:sz w:val="20"/>
          <w:szCs w:val="20"/>
          <w:lang w:val="cs-CZ"/>
        </w:rPr>
        <w:t> 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>cestovním ruchu a provozovatelů turistických atraktivit. Zaměřuje se na propagaci Pardubicka jakožto</w:t>
      </w:r>
      <w:r w:rsidR="00643578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>oblasti s</w:t>
      </w:r>
      <w:r w:rsidR="00643578">
        <w:rPr>
          <w:rFonts w:asciiTheme="majorHAnsi" w:hAnsiTheme="majorHAnsi" w:cstheme="majorHAnsi"/>
          <w:sz w:val="20"/>
          <w:szCs w:val="20"/>
          <w:lang w:val="cs-CZ"/>
        </w:rPr>
        <w:t> 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>vysokým potenciálem v aktivní turistice</w:t>
      </w:r>
      <w:r w:rsidR="00D0442D">
        <w:rPr>
          <w:rFonts w:asciiTheme="majorHAnsi" w:hAnsiTheme="majorHAnsi" w:cstheme="majorHAnsi"/>
          <w:sz w:val="20"/>
          <w:szCs w:val="20"/>
          <w:lang w:val="cs-CZ"/>
        </w:rPr>
        <w:t xml:space="preserve"> </w:t>
      </w:r>
      <w:r w:rsidRPr="004E45CD">
        <w:rPr>
          <w:rFonts w:asciiTheme="majorHAnsi" w:hAnsiTheme="majorHAnsi" w:cstheme="majorHAnsi"/>
          <w:sz w:val="20"/>
          <w:szCs w:val="20"/>
          <w:lang w:val="cs-CZ"/>
        </w:rPr>
        <w:t xml:space="preserve">se silnou vazbou na stěžejní témata, např. chov koní a jezdectví na Pardubicku. Více o spolku na </w:t>
      </w:r>
      <w:hyperlink r:id="rId7">
        <w:r w:rsidRPr="004E45CD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www.topardubicko.cz</w:t>
        </w:r>
      </w:hyperlink>
      <w:r w:rsidRPr="004E45CD">
        <w:rPr>
          <w:rFonts w:asciiTheme="majorHAnsi" w:hAnsiTheme="majorHAnsi" w:cstheme="majorHAnsi"/>
          <w:sz w:val="20"/>
          <w:szCs w:val="20"/>
          <w:lang w:val="cs-CZ"/>
        </w:rPr>
        <w:t>.</w:t>
      </w:r>
    </w:p>
    <w:p w14:paraId="68CC22BD" w14:textId="77777777" w:rsidR="004A280E" w:rsidRPr="004E45CD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lang w:val="cs-CZ"/>
        </w:rPr>
      </w:pPr>
    </w:p>
    <w:p w14:paraId="7A5D9D93" w14:textId="77777777" w:rsidR="004A280E" w:rsidRPr="004E45CD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lang w:val="cs-CZ"/>
        </w:rPr>
      </w:pPr>
    </w:p>
    <w:p w14:paraId="74730656" w14:textId="77777777" w:rsidR="004A280E" w:rsidRPr="004E45CD" w:rsidRDefault="00D565F2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>Kontakty:</w:t>
      </w:r>
    </w:p>
    <w:p w14:paraId="7BC70DD8" w14:textId="77777777" w:rsidR="004A280E" w:rsidRPr="004E45CD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0"/>
          <w:szCs w:val="20"/>
          <w:lang w:val="cs-CZ"/>
        </w:rPr>
      </w:pPr>
    </w:p>
    <w:p w14:paraId="1E6B1A5F" w14:textId="77777777" w:rsidR="004A280E" w:rsidRPr="004E45CD" w:rsidRDefault="00D565F2" w:rsidP="00643578">
      <w:pPr>
        <w:shd w:val="clear" w:color="auto" w:fill="FFFFFF"/>
        <w:spacing w:after="160"/>
        <w:ind w:left="0" w:hanging="2"/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 xml:space="preserve">Markéta Krátká, ředitelka – </w:t>
      </w:r>
      <w:hyperlink r:id="rId8">
        <w:r w:rsidRPr="004E45CD">
          <w:rPr>
            <w:rFonts w:asciiTheme="majorHAnsi" w:hAnsiTheme="majorHAnsi" w:cstheme="majorHAnsi"/>
            <w:color w:val="0000FF"/>
            <w:sz w:val="20"/>
            <w:szCs w:val="20"/>
            <w:u w:val="single"/>
            <w:lang w:val="cs-CZ"/>
          </w:rPr>
          <w:t>kratka@topardubicko.cz</w:t>
        </w:r>
      </w:hyperlink>
      <w:r w:rsidRPr="004E45CD">
        <w:rPr>
          <w:rFonts w:asciiTheme="majorHAnsi" w:hAnsiTheme="majorHAnsi" w:cstheme="majorHAnsi"/>
          <w:sz w:val="20"/>
          <w:szCs w:val="20"/>
          <w:lang w:val="cs-CZ"/>
        </w:rPr>
        <w:t>, +420 734 791 759.</w:t>
      </w:r>
    </w:p>
    <w:p w14:paraId="0DDF6E94" w14:textId="77777777" w:rsidR="004A280E" w:rsidRPr="004E45CD" w:rsidRDefault="00D565F2" w:rsidP="00643578">
      <w:pPr>
        <w:shd w:val="clear" w:color="auto" w:fill="FFFFFF"/>
        <w:spacing w:after="160"/>
        <w:ind w:left="0" w:hanging="2"/>
        <w:jc w:val="both"/>
        <w:rPr>
          <w:rFonts w:asciiTheme="majorHAnsi" w:hAnsiTheme="majorHAnsi" w:cstheme="majorHAnsi"/>
          <w:sz w:val="20"/>
          <w:szCs w:val="20"/>
          <w:lang w:val="cs-CZ"/>
        </w:rPr>
      </w:pPr>
      <w:r w:rsidRPr="004E45CD">
        <w:rPr>
          <w:rFonts w:asciiTheme="majorHAnsi" w:hAnsiTheme="majorHAnsi" w:cstheme="majorHAnsi"/>
          <w:sz w:val="20"/>
          <w:szCs w:val="20"/>
          <w:lang w:val="cs-CZ"/>
        </w:rPr>
        <w:t xml:space="preserve">Vladimíra Benešová, manažerka – </w:t>
      </w:r>
      <w:hyperlink r:id="rId9">
        <w:r w:rsidRPr="004E45CD">
          <w:rPr>
            <w:rFonts w:asciiTheme="majorHAnsi" w:hAnsiTheme="majorHAnsi" w:cstheme="majorHAnsi"/>
            <w:color w:val="0000FF"/>
            <w:sz w:val="20"/>
            <w:szCs w:val="20"/>
            <w:u w:val="single"/>
            <w:lang w:val="cs-CZ"/>
          </w:rPr>
          <w:t>benesova@topardubicko.cz</w:t>
        </w:r>
      </w:hyperlink>
      <w:r w:rsidRPr="004E45CD">
        <w:rPr>
          <w:rFonts w:asciiTheme="majorHAnsi" w:hAnsiTheme="majorHAnsi" w:cstheme="majorHAnsi"/>
          <w:sz w:val="20"/>
          <w:szCs w:val="20"/>
          <w:lang w:val="cs-CZ"/>
        </w:rPr>
        <w:t>, +420 730 589 397.</w:t>
      </w:r>
    </w:p>
    <w:p w14:paraId="4FA1E2DB" w14:textId="77777777" w:rsidR="004A280E" w:rsidRPr="004E45CD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lang w:val="cs-CZ"/>
        </w:rPr>
      </w:pPr>
    </w:p>
    <w:p w14:paraId="1088C327" w14:textId="77777777" w:rsidR="004A280E" w:rsidRPr="004E45CD" w:rsidRDefault="004A280E" w:rsidP="00643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lang w:val="cs-CZ"/>
        </w:rPr>
      </w:pPr>
    </w:p>
    <w:sectPr w:rsidR="004A280E" w:rsidRPr="004E45CD" w:rsidSect="00643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94" w:right="1133" w:bottom="1418" w:left="1418" w:header="175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9A0" w14:textId="77777777" w:rsidR="003B0C35" w:rsidRDefault="003B0C35">
      <w:pPr>
        <w:spacing w:line="240" w:lineRule="auto"/>
        <w:ind w:left="0" w:hanging="2"/>
      </w:pPr>
      <w:r>
        <w:separator/>
      </w:r>
    </w:p>
  </w:endnote>
  <w:endnote w:type="continuationSeparator" w:id="0">
    <w:p w14:paraId="59C0AB2F" w14:textId="77777777" w:rsidR="003B0C35" w:rsidRDefault="003B0C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48C3" w14:textId="77777777" w:rsidR="00643578" w:rsidRDefault="00643578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8595" w14:textId="77777777"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/>
        <w:color w:val="000000"/>
        <w:sz w:val="16"/>
        <w:szCs w:val="16"/>
      </w:rPr>
    </w:pPr>
    <w:r>
      <w:rPr>
        <w:rFonts w:ascii="Calibri" w:eastAsia="Calibri" w:hAnsi="Calibri"/>
        <w:color w:val="000000"/>
        <w:sz w:val="16"/>
        <w:szCs w:val="16"/>
      </w:rPr>
      <w:fldChar w:fldCharType="begin"/>
    </w:r>
    <w:r>
      <w:rPr>
        <w:rFonts w:ascii="Calibri" w:eastAsia="Calibri" w:hAnsi="Calibri"/>
        <w:color w:val="000000"/>
        <w:sz w:val="16"/>
        <w:szCs w:val="16"/>
      </w:rPr>
      <w:instrText>PAGE</w:instrText>
    </w:r>
    <w:r>
      <w:rPr>
        <w:rFonts w:ascii="Calibri" w:eastAsia="Calibri" w:hAnsi="Calibri"/>
        <w:color w:val="000000"/>
        <w:sz w:val="16"/>
        <w:szCs w:val="16"/>
      </w:rPr>
      <w:fldChar w:fldCharType="separate"/>
    </w:r>
    <w:r w:rsidR="004E45CD">
      <w:rPr>
        <w:rFonts w:ascii="Calibri" w:eastAsia="Calibri" w:hAnsi="Calibri"/>
        <w:noProof/>
        <w:color w:val="000000"/>
        <w:sz w:val="16"/>
        <w:szCs w:val="16"/>
      </w:rPr>
      <w:t>2</w:t>
    </w:r>
    <w:r>
      <w:rPr>
        <w:rFonts w:ascii="Calibri" w:eastAsia="Calibri" w:hAnsi="Calibri"/>
        <w:color w:val="000000"/>
        <w:sz w:val="16"/>
        <w:szCs w:val="16"/>
      </w:rPr>
      <w:fldChar w:fldCharType="end"/>
    </w:r>
  </w:p>
  <w:p w14:paraId="77054678" w14:textId="77777777" w:rsidR="004A280E" w:rsidRDefault="004A28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1E1A" w14:textId="77777777"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/>
        <w:color w:val="000000"/>
        <w:sz w:val="16"/>
        <w:szCs w:val="16"/>
      </w:rPr>
    </w:pPr>
    <w:r>
      <w:rPr>
        <w:rFonts w:ascii="Calibri" w:eastAsia="Calibri" w:hAnsi="Calibri"/>
        <w:b/>
        <w:color w:val="000000"/>
        <w:sz w:val="16"/>
        <w:szCs w:val="16"/>
      </w:rPr>
      <w:t xml:space="preserve">Pardubicko - </w:t>
    </w:r>
    <w:proofErr w:type="spellStart"/>
    <w:r>
      <w:rPr>
        <w:rFonts w:ascii="Calibri" w:eastAsia="Calibri" w:hAnsi="Calibri"/>
        <w:b/>
        <w:color w:val="000000"/>
        <w:sz w:val="16"/>
        <w:szCs w:val="16"/>
      </w:rPr>
      <w:t>Perníkové</w:t>
    </w:r>
    <w:proofErr w:type="spellEnd"/>
    <w:r>
      <w:rPr>
        <w:rFonts w:ascii="Calibri" w:eastAsia="Calibri" w:hAnsi="Calibri"/>
        <w:b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/>
        <w:b/>
        <w:color w:val="000000"/>
        <w:sz w:val="16"/>
        <w:szCs w:val="16"/>
      </w:rPr>
      <w:t>srdce</w:t>
    </w:r>
    <w:proofErr w:type="spellEnd"/>
    <w:r>
      <w:rPr>
        <w:rFonts w:ascii="Calibri" w:eastAsia="Calibri" w:hAnsi="Calibri"/>
        <w:b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/>
        <w:b/>
        <w:color w:val="000000"/>
        <w:sz w:val="16"/>
        <w:szCs w:val="16"/>
      </w:rPr>
      <w:t>Čech</w:t>
    </w:r>
    <w:proofErr w:type="spellEnd"/>
    <w:r>
      <w:rPr>
        <w:rFonts w:ascii="Calibri" w:eastAsia="Calibri" w:hAnsi="Calibri"/>
        <w:b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/>
        <w:b/>
        <w:color w:val="000000"/>
        <w:sz w:val="16"/>
        <w:szCs w:val="16"/>
      </w:rPr>
      <w:t>z.s.</w:t>
    </w:r>
    <w:proofErr w:type="spellEnd"/>
  </w:p>
  <w:p w14:paraId="19F7D05F" w14:textId="77777777"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/>
        <w:color w:val="000000"/>
        <w:sz w:val="16"/>
        <w:szCs w:val="16"/>
      </w:rPr>
    </w:pPr>
    <w:proofErr w:type="spellStart"/>
    <w:r>
      <w:rPr>
        <w:rFonts w:ascii="Calibri" w:eastAsia="Calibri" w:hAnsi="Calibri"/>
        <w:color w:val="000000"/>
        <w:sz w:val="16"/>
        <w:szCs w:val="16"/>
      </w:rPr>
      <w:t>Spolek</w:t>
    </w:r>
    <w:proofErr w:type="spellEnd"/>
    <w:r>
      <w:rPr>
        <w:rFonts w:ascii="Calibri" w:eastAsia="Calibri" w:hAnsi="Calibri"/>
        <w:color w:val="000000"/>
        <w:sz w:val="16"/>
        <w:szCs w:val="16"/>
      </w:rPr>
      <w:t xml:space="preserve"> pro </w:t>
    </w:r>
    <w:proofErr w:type="spellStart"/>
    <w:r>
      <w:rPr>
        <w:rFonts w:ascii="Calibri" w:eastAsia="Calibri" w:hAnsi="Calibri"/>
        <w:color w:val="000000"/>
        <w:sz w:val="16"/>
        <w:szCs w:val="16"/>
      </w:rPr>
      <w:t>rozvoj</w:t>
    </w:r>
    <w:proofErr w:type="spellEnd"/>
    <w:r>
      <w:rPr>
        <w:rFonts w:ascii="Calibri" w:eastAsia="Calibri" w:hAnsi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/>
        <w:color w:val="000000"/>
        <w:sz w:val="16"/>
        <w:szCs w:val="16"/>
      </w:rPr>
      <w:t>turistické</w:t>
    </w:r>
    <w:proofErr w:type="spellEnd"/>
    <w:r>
      <w:rPr>
        <w:rFonts w:ascii="Calibri" w:eastAsia="Calibri" w:hAnsi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/>
        <w:color w:val="000000"/>
        <w:sz w:val="16"/>
        <w:szCs w:val="16"/>
      </w:rPr>
      <w:t>oblasti</w:t>
    </w:r>
    <w:proofErr w:type="spellEnd"/>
  </w:p>
  <w:p w14:paraId="530188FA" w14:textId="77777777"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/>
        <w:color w:val="000000"/>
        <w:sz w:val="16"/>
        <w:szCs w:val="16"/>
      </w:rPr>
    </w:pPr>
    <w:proofErr w:type="spellStart"/>
    <w:r>
      <w:rPr>
        <w:rFonts w:ascii="Calibri" w:eastAsia="Calibri" w:hAnsi="Calibri"/>
        <w:color w:val="000000"/>
        <w:sz w:val="16"/>
        <w:szCs w:val="16"/>
      </w:rPr>
      <w:t>Klášterní</w:t>
    </w:r>
    <w:proofErr w:type="spellEnd"/>
    <w:r>
      <w:rPr>
        <w:rFonts w:ascii="Calibri" w:eastAsia="Calibri" w:hAnsi="Calibri"/>
        <w:color w:val="000000"/>
        <w:sz w:val="16"/>
        <w:szCs w:val="16"/>
      </w:rPr>
      <w:t xml:space="preserve"> 54, 530 02 Pardubice</w:t>
    </w:r>
  </w:p>
  <w:p w14:paraId="7CF0CF0F" w14:textId="77777777"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/>
        <w:color w:val="000000"/>
        <w:sz w:val="28"/>
        <w:szCs w:val="28"/>
      </w:rPr>
    </w:pPr>
    <w:r>
      <w:rPr>
        <w:rFonts w:ascii="Calibri" w:eastAsia="Calibri" w:hAnsi="Calibri"/>
        <w:color w:val="000000"/>
        <w:sz w:val="16"/>
        <w:szCs w:val="16"/>
      </w:rPr>
      <w:t>IČO: 061 49 006</w:t>
    </w:r>
    <w:r>
      <w:rPr>
        <w:rFonts w:ascii="Calibri" w:eastAsia="Calibri" w:hAnsi="Calibri"/>
        <w:color w:val="000000"/>
        <w:sz w:val="16"/>
        <w:szCs w:val="16"/>
      </w:rPr>
      <w:tab/>
    </w:r>
    <w:r>
      <w:rPr>
        <w:rFonts w:ascii="Calibri" w:eastAsia="Calibri" w:hAnsi="Calibri"/>
        <w:color w:val="000000"/>
        <w:sz w:val="16"/>
        <w:szCs w:val="16"/>
      </w:rPr>
      <w:tab/>
    </w:r>
    <w:r>
      <w:rPr>
        <w:rFonts w:ascii="Calibri" w:eastAsia="Calibri" w:hAnsi="Calibri"/>
        <w:b/>
        <w:color w:val="000000"/>
        <w:sz w:val="16"/>
        <w:szCs w:val="16"/>
      </w:rPr>
      <w:t>www.TOPardubicko.cz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5C11" w14:textId="77777777" w:rsidR="003B0C35" w:rsidRDefault="003B0C35">
      <w:pPr>
        <w:spacing w:line="240" w:lineRule="auto"/>
        <w:ind w:left="0" w:hanging="2"/>
      </w:pPr>
      <w:r>
        <w:separator/>
      </w:r>
    </w:p>
  </w:footnote>
  <w:footnote w:type="continuationSeparator" w:id="0">
    <w:p w14:paraId="2556AFD7" w14:textId="77777777" w:rsidR="003B0C35" w:rsidRDefault="003B0C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1FFA" w14:textId="77777777" w:rsidR="00643578" w:rsidRDefault="00643578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5139" w14:textId="77777777" w:rsidR="004A280E" w:rsidRDefault="00D56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946B66" wp14:editId="68E904E3">
          <wp:simplePos x="0" y="0"/>
          <wp:positionH relativeFrom="column">
            <wp:posOffset>4547235</wp:posOffset>
          </wp:positionH>
          <wp:positionV relativeFrom="paragraph">
            <wp:posOffset>-803909</wp:posOffset>
          </wp:positionV>
          <wp:extent cx="1361440" cy="7810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144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7F93" w14:textId="77777777" w:rsidR="004A280E" w:rsidRDefault="00D565F2" w:rsidP="006435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rFonts w:eastAsia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6D7AB1" wp14:editId="5908A64D">
          <wp:simplePos x="0" y="0"/>
          <wp:positionH relativeFrom="column">
            <wp:posOffset>4545965</wp:posOffset>
          </wp:positionH>
          <wp:positionV relativeFrom="paragraph">
            <wp:posOffset>-803274</wp:posOffset>
          </wp:positionV>
          <wp:extent cx="1361440" cy="7810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144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0E"/>
    <w:rsid w:val="00377AFA"/>
    <w:rsid w:val="00390FFF"/>
    <w:rsid w:val="003B0C35"/>
    <w:rsid w:val="004A280E"/>
    <w:rsid w:val="004E45CD"/>
    <w:rsid w:val="0051607B"/>
    <w:rsid w:val="00643578"/>
    <w:rsid w:val="00663B68"/>
    <w:rsid w:val="00704824"/>
    <w:rsid w:val="008164A6"/>
    <w:rsid w:val="00AC71EF"/>
    <w:rsid w:val="00B1386D"/>
    <w:rsid w:val="00BC34D7"/>
    <w:rsid w:val="00C75D05"/>
    <w:rsid w:val="00D0442D"/>
    <w:rsid w:val="00D20DF0"/>
    <w:rsid w:val="00D565F2"/>
    <w:rsid w:val="00DB12B9"/>
    <w:rsid w:val="00DD72B5"/>
    <w:rsid w:val="00E305F1"/>
    <w:rsid w:val="00E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3A46A"/>
  <w15:docId w15:val="{39248652-1B15-4003-841E-73B7B5F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Batang" w:hAnsi="Times New Roman"/>
      <w:position w:val="-1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uiPriority w:val="9"/>
    <w:qFormat/>
    <w:pPr>
      <w:keepNext/>
      <w:tabs>
        <w:tab w:val="left" w:pos="624"/>
        <w:tab w:val="left" w:pos="1134"/>
        <w:tab w:val="left" w:pos="1644"/>
      </w:tabs>
      <w:suppressAutoHyphens w:val="0"/>
      <w:overflowPunct w:val="0"/>
      <w:autoSpaceDE w:val="0"/>
      <w:autoSpaceDN w:val="0"/>
      <w:adjustRightInd w:val="0"/>
      <w:ind w:left="170"/>
      <w:jc w:val="right"/>
      <w:textAlignment w:val="baseline"/>
    </w:pPr>
    <w:rPr>
      <w:rFonts w:ascii="Arial" w:eastAsia="Times New Roman" w:hAnsi="Arial" w:cs="Arial"/>
      <w:b/>
      <w:bCs/>
      <w:sz w:val="14"/>
      <w:szCs w:val="20"/>
      <w:lang w:val="cs-CZ" w:eastAsia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tabs>
        <w:tab w:val="left" w:pos="624"/>
        <w:tab w:val="left" w:pos="1134"/>
        <w:tab w:val="left" w:pos="1644"/>
      </w:tabs>
      <w:suppressAutoHyphens w:val="0"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Times New Roman" w:hAnsi="Arial" w:cs="Arial"/>
      <w:b/>
      <w:sz w:val="14"/>
      <w:szCs w:val="20"/>
      <w:lang w:val="cs-CZ" w:eastAsia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rFonts w:eastAsia="Times New Roman"/>
      <w:b/>
      <w:sz w:val="32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w w:val="100"/>
      <w:position w:val="-1"/>
      <w:sz w:val="32"/>
      <w:szCs w:val="24"/>
      <w:effect w:val="none"/>
      <w:vertAlign w:val="baseline"/>
      <w:cs w:val="0"/>
      <w:em w:val="none"/>
      <w:lang w:val="de-DE" w:eastAsia="de-DE"/>
    </w:rPr>
  </w:style>
  <w:style w:type="paragraph" w:customStyle="1" w:styleId="Podtitul">
    <w:name w:val="Podtitul"/>
    <w:basedOn w:val="Normln"/>
    <w:pPr>
      <w:jc w:val="center"/>
    </w:pPr>
    <w:rPr>
      <w:rFonts w:eastAsia="Times New Roman"/>
      <w:b/>
      <w:sz w:val="28"/>
    </w:rPr>
  </w:style>
  <w:style w:type="character" w:customStyle="1" w:styleId="PodtitulChar">
    <w:name w:val="Podtitul Char"/>
    <w:rPr>
      <w:rFonts w:ascii="Times New Roman" w:eastAsia="Times New Roman" w:hAnsi="Times New Roman" w:cs="Times New Roman"/>
      <w:b/>
      <w:w w:val="100"/>
      <w:position w:val="-1"/>
      <w:sz w:val="28"/>
      <w:szCs w:val="24"/>
      <w:effect w:val="none"/>
      <w:vertAlign w:val="baseline"/>
      <w:cs w:val="0"/>
      <w:em w:val="none"/>
      <w:lang w:val="de-DE" w:eastAsia="de-DE"/>
    </w:rPr>
  </w:style>
  <w:style w:type="table" w:styleId="Mkatabulky">
    <w:name w:val="Table Grid"/>
    <w:basedOn w:val="Normlntabulk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Batang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de-D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eastAsia="Batang" w:hAnsi="Times New Roman"/>
      <w:w w:val="100"/>
      <w:position w:val="-1"/>
      <w:sz w:val="24"/>
      <w:szCs w:val="24"/>
      <w:effect w:val="none"/>
      <w:vertAlign w:val="baseline"/>
      <w:cs w:val="0"/>
      <w:em w:val="none"/>
      <w:lang w:val="de-DE" w:eastAsia="de-D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Batang" w:hAnsi="Times New Roman"/>
      <w:w w:val="100"/>
      <w:position w:val="-1"/>
      <w:sz w:val="24"/>
      <w:szCs w:val="24"/>
      <w:effect w:val="none"/>
      <w:vertAlign w:val="baseline"/>
      <w:cs w:val="0"/>
      <w:em w:val="none"/>
      <w:lang w:val="de-DE" w:eastAsia="de-DE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Arial" w:eastAsia="Times New Roman" w:hAnsi="Arial" w:cs="Arial"/>
      <w:b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st1">
    <w:name w:val="st1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qFormat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rPr>
      <w:rFonts w:ascii="Tahoma" w:eastAsia="Batang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de-D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rFonts w:ascii="Times New Roman" w:eastAsia="Batang" w:hAnsi="Times New Roman"/>
      <w:w w:val="100"/>
      <w:position w:val="-1"/>
      <w:effect w:val="none"/>
      <w:vertAlign w:val="baseline"/>
      <w:cs w:val="0"/>
      <w:em w:val="none"/>
      <w:lang w:val="de-DE" w:eastAsia="de-D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rFonts w:ascii="Times New Roman" w:eastAsia="Batang" w:hAnsi="Times New Roman"/>
      <w:b/>
      <w:bCs/>
      <w:w w:val="100"/>
      <w:position w:val="-1"/>
      <w:effect w:val="none"/>
      <w:vertAlign w:val="baseline"/>
      <w:cs w:val="0"/>
      <w:em w:val="none"/>
      <w:lang w:val="de-DE" w:eastAsia="de-D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ka@topardubick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pardubicko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esova@topardubicko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pjWJS0kIvRPDQynJt14orlLiYQ==">AMUW2mXBRytxdrPJEsPFYOKhQC/wyJsf8WS9MO88OLf3eNNjkza9xYg2cFEJnBNUHiOhkpKxKWv6Fo9wRB0M5uHoeQPwMX1Lb3X14YW+r84ZtcgrGPDiuog=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Krátká</dc:creator>
  <cp:lastModifiedBy>Markéta Krátká</cp:lastModifiedBy>
  <cp:revision>11</cp:revision>
  <dcterms:created xsi:type="dcterms:W3CDTF">2021-06-01T06:42:00Z</dcterms:created>
  <dcterms:modified xsi:type="dcterms:W3CDTF">2021-06-01T09:00:00Z</dcterms:modified>
</cp:coreProperties>
</file>